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32" w:rsidRPr="004F7D32" w:rsidRDefault="00E75932" w:rsidP="00E759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517"/>
        <w:gridCol w:w="2127"/>
        <w:gridCol w:w="2957"/>
      </w:tblGrid>
      <w:tr w:rsidR="004F7D32" w:rsidRPr="001A3D0E" w:rsidTr="004F7D32">
        <w:trPr>
          <w:trHeight w:val="525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1A3D0E" w:rsidRDefault="00476FDB" w:rsidP="005140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r w:rsidR="001A3D0E" w:rsidRPr="001A3D0E"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241463" w:rsidRPr="001A3D0E">
              <w:rPr>
                <w:rFonts w:ascii="Arial" w:hAnsi="Arial" w:cs="Arial"/>
                <w:b/>
                <w:sz w:val="22"/>
                <w:szCs w:val="22"/>
              </w:rPr>
              <w:t xml:space="preserve"> de 201</w:t>
            </w:r>
            <w:r w:rsidR="000952CC" w:rsidRPr="001A3D0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1A3D0E" w:rsidRDefault="00476FDB" w:rsidP="001A3D0E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 xml:space="preserve">FECHA: </w:t>
            </w:r>
            <w:r w:rsidR="001A3D0E" w:rsidRPr="001A3D0E">
              <w:rPr>
                <w:rFonts w:ascii="Arial" w:hAnsi="Arial" w:cs="Arial"/>
                <w:sz w:val="22"/>
                <w:szCs w:val="22"/>
              </w:rPr>
              <w:t>27 de Octubre</w:t>
            </w:r>
            <w:r w:rsidRPr="001A3D0E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241463" w:rsidRPr="001A3D0E">
              <w:rPr>
                <w:rFonts w:ascii="Arial" w:hAnsi="Arial" w:cs="Arial"/>
                <w:sz w:val="22"/>
                <w:szCs w:val="22"/>
              </w:rPr>
              <w:t>l 201</w:t>
            </w:r>
            <w:r w:rsidR="000952CC" w:rsidRPr="001A3D0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1A3D0E" w:rsidRDefault="00476FDB" w:rsidP="00343B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>INICIO</w:t>
            </w:r>
            <w:r w:rsidRPr="001A3D0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A3D0E" w:rsidRPr="001A3D0E">
              <w:rPr>
                <w:rFonts w:ascii="Arial" w:hAnsi="Arial" w:cs="Arial"/>
                <w:sz w:val="22"/>
                <w:szCs w:val="22"/>
              </w:rPr>
              <w:t>09:00</w:t>
            </w:r>
            <w:r w:rsidR="00241463" w:rsidRPr="001A3D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04E" w:rsidRPr="001A3D0E">
              <w:rPr>
                <w:rFonts w:ascii="Arial" w:hAnsi="Arial" w:cs="Arial"/>
                <w:sz w:val="22"/>
                <w:szCs w:val="22"/>
              </w:rPr>
              <w:t>a</w:t>
            </w:r>
            <w:r w:rsidRPr="001A3D0E">
              <w:rPr>
                <w:rFonts w:ascii="Arial" w:hAnsi="Arial" w:cs="Arial"/>
                <w:sz w:val="22"/>
                <w:szCs w:val="22"/>
              </w:rPr>
              <w:t>.m.</w:t>
            </w:r>
          </w:p>
          <w:p w:rsidR="00476FDB" w:rsidRPr="001A3D0E" w:rsidRDefault="00241463" w:rsidP="001A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>FIN:</w:t>
            </w:r>
            <w:r w:rsidR="00476FDB" w:rsidRPr="001A3D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0E" w:rsidRPr="001A3D0E">
              <w:rPr>
                <w:rFonts w:ascii="Arial" w:hAnsi="Arial" w:cs="Arial"/>
                <w:sz w:val="22"/>
                <w:szCs w:val="22"/>
              </w:rPr>
              <w:t>09:2</w:t>
            </w:r>
            <w:r w:rsidR="0051404E" w:rsidRPr="001A3D0E">
              <w:rPr>
                <w:rFonts w:ascii="Arial" w:hAnsi="Arial" w:cs="Arial"/>
                <w:sz w:val="22"/>
                <w:szCs w:val="22"/>
              </w:rPr>
              <w:t>0</w:t>
            </w:r>
            <w:r w:rsidR="00476FDB" w:rsidRPr="001A3D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0E" w:rsidRPr="001A3D0E">
              <w:rPr>
                <w:rFonts w:ascii="Arial" w:hAnsi="Arial" w:cs="Arial"/>
                <w:sz w:val="22"/>
                <w:szCs w:val="22"/>
              </w:rPr>
              <w:t>a</w:t>
            </w:r>
            <w:r w:rsidR="00476FDB" w:rsidRPr="001A3D0E">
              <w:rPr>
                <w:rFonts w:ascii="Arial" w:hAnsi="Arial" w:cs="Arial"/>
                <w:sz w:val="22"/>
                <w:szCs w:val="22"/>
              </w:rPr>
              <w:t>.m.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1A3D0E" w:rsidRDefault="00476FDB" w:rsidP="001A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 xml:space="preserve">LUGAR:   </w:t>
            </w:r>
            <w:r w:rsidR="001A3D0E" w:rsidRPr="001A3D0E">
              <w:rPr>
                <w:rFonts w:ascii="Arial" w:hAnsi="Arial" w:cs="Arial"/>
                <w:sz w:val="22"/>
                <w:szCs w:val="22"/>
              </w:rPr>
              <w:t>Of. de Sistemas</w:t>
            </w:r>
          </w:p>
        </w:tc>
      </w:tr>
      <w:tr w:rsidR="00476FDB" w:rsidRPr="001A3D0E" w:rsidTr="004F7D32">
        <w:trPr>
          <w:trHeight w:val="525"/>
          <w:jc w:val="center"/>
        </w:trPr>
        <w:tc>
          <w:tcPr>
            <w:tcW w:w="9417" w:type="dxa"/>
            <w:gridSpan w:val="4"/>
            <w:vAlign w:val="center"/>
          </w:tcPr>
          <w:p w:rsidR="00241463" w:rsidRPr="001A3D0E" w:rsidRDefault="001D6DF1" w:rsidP="002B4FCA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>AGENDA</w:t>
            </w:r>
            <w:r w:rsidR="00241463" w:rsidRPr="001A3D0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F5AC0" w:rsidRPr="001A3D0E" w:rsidRDefault="001A3D0E" w:rsidP="00FF5AC0">
            <w:pPr>
              <w:pStyle w:val="Prrafodelista"/>
              <w:numPr>
                <w:ilvl w:val="0"/>
                <w:numId w:val="15"/>
              </w:numPr>
              <w:contextualSpacing w:val="0"/>
              <w:rPr>
                <w:sz w:val="22"/>
                <w:szCs w:val="22"/>
              </w:rPr>
            </w:pPr>
            <w:r w:rsidRPr="001A3D0E">
              <w:rPr>
                <w:sz w:val="22"/>
                <w:szCs w:val="22"/>
              </w:rPr>
              <w:t>Soporte de detracciones en sistema de facturación</w:t>
            </w:r>
          </w:p>
          <w:p w:rsidR="00D10946" w:rsidRPr="001A3D0E" w:rsidRDefault="00D10946" w:rsidP="000952CC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6FDB" w:rsidRPr="004F7D32" w:rsidRDefault="00476FDB" w:rsidP="001D6DF1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241463" w:rsidRPr="001A3D0E" w:rsidTr="004F7D32">
        <w:trPr>
          <w:tblHeader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1A3D0E" w:rsidRDefault="004F7D32" w:rsidP="00343B75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1A3D0E">
              <w:rPr>
                <w:rFonts w:ascii="Arial" w:hAnsi="Arial" w:cs="Arial"/>
                <w:b/>
                <w:bCs/>
                <w:sz w:val="22"/>
                <w:szCs w:val="20"/>
              </w:rPr>
              <w:t>ASISTENTES</w:t>
            </w:r>
          </w:p>
        </w:tc>
      </w:tr>
      <w:tr w:rsidR="00241463" w:rsidRPr="001A3D0E" w:rsidTr="004F7D32">
        <w:trPr>
          <w:trHeight w:val="232"/>
          <w:tblHeader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1A3D0E" w:rsidRDefault="001A3D0E" w:rsidP="00D10946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A3D0E">
              <w:rPr>
                <w:rFonts w:ascii="Arial" w:hAnsi="Arial" w:cs="Arial"/>
                <w:b/>
                <w:bCs/>
                <w:sz w:val="22"/>
                <w:szCs w:val="20"/>
              </w:rPr>
              <w:t>Puertos del Pacífico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1A3D0E" w:rsidRDefault="00241463" w:rsidP="00343B7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A3D0E">
              <w:rPr>
                <w:rFonts w:ascii="Arial" w:hAnsi="Arial" w:cs="Arial"/>
                <w:b/>
                <w:bCs/>
                <w:sz w:val="22"/>
                <w:szCs w:val="20"/>
              </w:rPr>
              <w:t>Área de TI</w:t>
            </w:r>
          </w:p>
        </w:tc>
      </w:tr>
      <w:tr w:rsidR="00FF5AC0" w:rsidRPr="001A3D0E" w:rsidTr="00FF5AC0">
        <w:trPr>
          <w:trHeight w:val="241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51404E" w:rsidRPr="001A3D0E" w:rsidRDefault="001A3D0E" w:rsidP="008B7E11">
            <w:pPr>
              <w:rPr>
                <w:rFonts w:ascii="Arial" w:hAnsi="Arial" w:cs="Arial"/>
                <w:sz w:val="22"/>
                <w:szCs w:val="20"/>
              </w:rPr>
            </w:pPr>
            <w:r w:rsidRPr="001A3D0E">
              <w:rPr>
                <w:rFonts w:ascii="Arial" w:hAnsi="Arial" w:cs="Arial"/>
                <w:sz w:val="22"/>
                <w:szCs w:val="20"/>
              </w:rPr>
              <w:t>Juana Carrasco Rosales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1A3D0E" w:rsidRPr="001A3D0E" w:rsidRDefault="001A3D0E" w:rsidP="00343B75">
            <w:pPr>
              <w:rPr>
                <w:rFonts w:ascii="Arial" w:hAnsi="Arial" w:cs="Arial"/>
                <w:sz w:val="22"/>
                <w:szCs w:val="20"/>
                <w:lang w:val="es-PE"/>
              </w:rPr>
            </w:pPr>
            <w:r w:rsidRPr="001A3D0E">
              <w:rPr>
                <w:rFonts w:ascii="Arial" w:hAnsi="Arial" w:cs="Arial"/>
                <w:sz w:val="22"/>
                <w:szCs w:val="20"/>
                <w:lang w:val="es-PE"/>
              </w:rPr>
              <w:t>Alexander Echavarría Pérez</w:t>
            </w:r>
          </w:p>
          <w:p w:rsidR="00FF5AC0" w:rsidRPr="001A3D0E" w:rsidRDefault="001A3D0E" w:rsidP="00343B75">
            <w:pPr>
              <w:rPr>
                <w:rFonts w:ascii="Arial" w:hAnsi="Arial" w:cs="Arial"/>
                <w:sz w:val="22"/>
                <w:szCs w:val="20"/>
                <w:lang w:val="es-PE"/>
              </w:rPr>
            </w:pPr>
            <w:r w:rsidRPr="001A3D0E">
              <w:rPr>
                <w:rFonts w:ascii="Arial" w:hAnsi="Arial" w:cs="Arial"/>
                <w:sz w:val="22"/>
                <w:szCs w:val="20"/>
                <w:lang w:val="es-PE"/>
              </w:rPr>
              <w:t xml:space="preserve">Jonathan Muñoz </w:t>
            </w:r>
            <w:proofErr w:type="spellStart"/>
            <w:r w:rsidRPr="001A3D0E">
              <w:rPr>
                <w:rFonts w:ascii="Arial" w:hAnsi="Arial" w:cs="Arial"/>
                <w:sz w:val="22"/>
                <w:szCs w:val="20"/>
                <w:lang w:val="es-PE"/>
              </w:rPr>
              <w:t>Aleman</w:t>
            </w:r>
            <w:proofErr w:type="spellEnd"/>
          </w:p>
        </w:tc>
      </w:tr>
    </w:tbl>
    <w:p w:rsidR="00E75932" w:rsidRPr="004F7D32" w:rsidRDefault="00E75932" w:rsidP="00E75932">
      <w:pPr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005A" w:rsidRPr="001A3D0E" w:rsidTr="004F7D32">
        <w:trPr>
          <w:trHeight w:val="525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:rsidR="00AC005A" w:rsidRPr="001A3D0E" w:rsidRDefault="00AC005A" w:rsidP="004F7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0E">
              <w:rPr>
                <w:rFonts w:ascii="Arial" w:hAnsi="Arial" w:cs="Arial"/>
                <w:b/>
                <w:sz w:val="22"/>
                <w:szCs w:val="22"/>
              </w:rPr>
              <w:t xml:space="preserve">DESARROLLO DE LA AGENDA </w:t>
            </w:r>
          </w:p>
        </w:tc>
      </w:tr>
      <w:tr w:rsidR="00AC005A" w:rsidRPr="001A3D0E" w:rsidTr="00A91F00">
        <w:trPr>
          <w:trHeight w:val="426"/>
        </w:trPr>
        <w:tc>
          <w:tcPr>
            <w:tcW w:w="9498" w:type="dxa"/>
          </w:tcPr>
          <w:p w:rsidR="00041E5B" w:rsidRPr="001A3D0E" w:rsidRDefault="001A3D0E" w:rsidP="00041E5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1A3D0E">
              <w:rPr>
                <w:rFonts w:ascii="Arial" w:hAnsi="Arial" w:cs="Arial"/>
                <w:sz w:val="22"/>
                <w:szCs w:val="22"/>
                <w:lang w:val="es-MX"/>
              </w:rPr>
              <w:t>En Puertos del Pacífico la detracción no es previsible en el momento de emitir un documento</w:t>
            </w:r>
            <w:r w:rsidR="00041E5B" w:rsidRPr="001A3D0E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1A3D0E">
              <w:rPr>
                <w:rFonts w:ascii="Arial" w:hAnsi="Arial" w:cs="Arial"/>
                <w:sz w:val="22"/>
                <w:szCs w:val="22"/>
                <w:lang w:val="es-MX"/>
              </w:rPr>
              <w:t xml:space="preserve"> Se tiene que llevar el control de la facturación del cliente en el día para regenerar los asientos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contables.</w:t>
            </w:r>
          </w:p>
          <w:p w:rsidR="001A3D0E" w:rsidRPr="001A3D0E" w:rsidRDefault="001A3D0E" w:rsidP="00041E5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Todos los servicios excepto la venta de hielo y petróleo están afectos a detracción. Para esto se debe usar la tabla de detracciones, no sin antes revisar que esté actualizada.</w:t>
            </w:r>
          </w:p>
          <w:p w:rsidR="001A3D0E" w:rsidRPr="001A3D0E" w:rsidRDefault="001A3D0E" w:rsidP="00041E5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Cada documento tendrá un indicador para saber si está afecta a detracción. Cuando se emita un documento que ocasione que el total facturado por el cliente en el día este afecto a detracción, se activará este indicador en todos los documentos y se volverán a generar sus asientos.</w:t>
            </w:r>
          </w:p>
          <w:p w:rsidR="001A3D0E" w:rsidRPr="001A3D0E" w:rsidRDefault="001A3D0E" w:rsidP="00041E5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 cuenta contable de detracciones ya está definida en el plan contable.</w:t>
            </w:r>
          </w:p>
          <w:tbl>
            <w:tblPr>
              <w:tblW w:w="77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663"/>
              <w:gridCol w:w="1200"/>
              <w:gridCol w:w="1200"/>
              <w:gridCol w:w="1263"/>
            </w:tblGrid>
            <w:tr w:rsidR="004F689C" w:rsidRPr="001A3D0E" w:rsidTr="00143234">
              <w:trPr>
                <w:trHeight w:val="6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F689C" w:rsidRPr="001A3D0E" w:rsidTr="00143234">
              <w:trPr>
                <w:trHeight w:val="6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Pr="001A3D0E" w:rsidRDefault="004F68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F689C" w:rsidRPr="001A3D0E" w:rsidRDefault="004F689C" w:rsidP="004F689C">
            <w:pPr>
              <w:pStyle w:val="Prrafodelista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</w:tr>
    </w:tbl>
    <w:p w:rsidR="00E75932" w:rsidRPr="004F7D32" w:rsidRDefault="00E75932" w:rsidP="00E75932">
      <w:pPr>
        <w:tabs>
          <w:tab w:val="left" w:pos="9690"/>
        </w:tabs>
        <w:ind w:right="720"/>
        <w:rPr>
          <w:rFonts w:ascii="Arial" w:hAnsi="Arial" w:cs="Arial"/>
          <w:smallCaps/>
          <w:sz w:val="22"/>
          <w:szCs w:val="22"/>
        </w:rPr>
      </w:pPr>
    </w:p>
    <w:p w:rsidR="00E75932" w:rsidRDefault="00E75932" w:rsidP="00E75932">
      <w:pPr>
        <w:rPr>
          <w:rFonts w:ascii="Arial" w:hAnsi="Arial" w:cs="Arial"/>
          <w:sz w:val="22"/>
          <w:szCs w:val="22"/>
        </w:rPr>
      </w:pPr>
    </w:p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4F517D" w:rsidRPr="001D5540" w:rsidTr="001D5540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4F517D" w:rsidRPr="001D5540" w:rsidRDefault="004F517D" w:rsidP="001D5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540">
              <w:rPr>
                <w:rFonts w:ascii="Arial" w:hAnsi="Arial" w:cs="Arial"/>
                <w:b/>
                <w:sz w:val="22"/>
                <w:szCs w:val="22"/>
              </w:rPr>
              <w:t>TAREAS Y COMPROMISOS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4F517D" w:rsidRPr="001D5540" w:rsidRDefault="004F517D" w:rsidP="001D5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540"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</w:tr>
      <w:tr w:rsidR="004F517D" w:rsidRPr="001D5540" w:rsidTr="001D5540">
        <w:trPr>
          <w:trHeight w:val="422"/>
        </w:trPr>
        <w:tc>
          <w:tcPr>
            <w:tcW w:w="6237" w:type="dxa"/>
            <w:vAlign w:val="center"/>
          </w:tcPr>
          <w:p w:rsidR="005B0977" w:rsidRPr="001D5540" w:rsidRDefault="001A3D0E" w:rsidP="001D5540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601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D5540">
              <w:rPr>
                <w:rFonts w:ascii="Arial" w:hAnsi="Arial" w:cs="Arial"/>
                <w:sz w:val="22"/>
                <w:szCs w:val="22"/>
                <w:lang w:val="es-MX"/>
              </w:rPr>
              <w:t>Realizar en el sistema las modificaciones necesarias para el soporte de detracciones</w:t>
            </w:r>
            <w:r w:rsidR="001D5540" w:rsidRPr="001D5540">
              <w:rPr>
                <w:rFonts w:ascii="Arial" w:hAnsi="Arial" w:cs="Arial"/>
                <w:sz w:val="22"/>
                <w:szCs w:val="22"/>
                <w:lang w:val="es-MX"/>
              </w:rPr>
              <w:t xml:space="preserve"> para el día lunes 3 de noviembre</w:t>
            </w:r>
          </w:p>
        </w:tc>
        <w:tc>
          <w:tcPr>
            <w:tcW w:w="2552" w:type="dxa"/>
            <w:vAlign w:val="center"/>
          </w:tcPr>
          <w:p w:rsidR="00A91F00" w:rsidRPr="001D5540" w:rsidRDefault="001D5540" w:rsidP="001D554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D5540">
              <w:rPr>
                <w:rFonts w:ascii="Arial" w:hAnsi="Arial" w:cs="Arial"/>
                <w:sz w:val="22"/>
                <w:szCs w:val="22"/>
                <w:lang w:val="es-MX"/>
              </w:rPr>
              <w:t>Alexander Echavarría / Jonathan Muñoz</w:t>
            </w:r>
          </w:p>
        </w:tc>
      </w:tr>
    </w:tbl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  <w:r w:rsidRPr="009A0B5F">
        <w:rPr>
          <w:rFonts w:ascii="Arial" w:hAnsi="Arial" w:cs="Arial"/>
          <w:b/>
          <w:sz w:val="22"/>
          <w:szCs w:val="22"/>
        </w:rPr>
        <w:t>CONFORMIDAD</w:t>
      </w:r>
    </w:p>
    <w:p w:rsidR="009A0B5F" w:rsidRDefault="009A0B5F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9A0B5F" w:rsidRPr="004F7D32" w:rsidTr="009A0B5F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9A0B5F" w:rsidRPr="004F7D32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ASISTENTES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A0B5F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041E5B" w:rsidRPr="004F7D32" w:rsidTr="001D5540">
        <w:trPr>
          <w:trHeight w:val="728"/>
        </w:trPr>
        <w:tc>
          <w:tcPr>
            <w:tcW w:w="6237" w:type="dxa"/>
            <w:vAlign w:val="center"/>
          </w:tcPr>
          <w:p w:rsidR="00041E5B" w:rsidRPr="002D3CBE" w:rsidRDefault="001D5540" w:rsidP="001D5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Juana Carrasco Rosales</w:t>
            </w:r>
          </w:p>
        </w:tc>
        <w:tc>
          <w:tcPr>
            <w:tcW w:w="2552" w:type="dxa"/>
            <w:vAlign w:val="center"/>
          </w:tcPr>
          <w:p w:rsidR="00041E5B" w:rsidRPr="004F517D" w:rsidRDefault="00041E5B" w:rsidP="001D5540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041E5B" w:rsidRPr="004F7D32" w:rsidTr="001D5540">
        <w:trPr>
          <w:trHeight w:val="728"/>
        </w:trPr>
        <w:tc>
          <w:tcPr>
            <w:tcW w:w="6237" w:type="dxa"/>
            <w:vAlign w:val="center"/>
          </w:tcPr>
          <w:p w:rsidR="00041E5B" w:rsidRDefault="001D5540" w:rsidP="001D5540">
            <w:r>
              <w:rPr>
                <w:rFonts w:ascii="Arial" w:hAnsi="Arial" w:cs="Arial"/>
              </w:rPr>
              <w:t>Alexander Echavarría Pérez</w:t>
            </w:r>
          </w:p>
        </w:tc>
        <w:tc>
          <w:tcPr>
            <w:tcW w:w="2552" w:type="dxa"/>
            <w:vAlign w:val="center"/>
          </w:tcPr>
          <w:p w:rsidR="00041E5B" w:rsidRPr="004F517D" w:rsidRDefault="00041E5B" w:rsidP="001D5540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041E5B" w:rsidRPr="004F7D32" w:rsidTr="001D5540">
        <w:trPr>
          <w:trHeight w:val="728"/>
        </w:trPr>
        <w:tc>
          <w:tcPr>
            <w:tcW w:w="6237" w:type="dxa"/>
            <w:vAlign w:val="center"/>
          </w:tcPr>
          <w:p w:rsidR="00041E5B" w:rsidRPr="002D3CBE" w:rsidRDefault="001D5540" w:rsidP="001D5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Jonathan Muñoz </w:t>
            </w:r>
            <w:proofErr w:type="spellStart"/>
            <w:r>
              <w:rPr>
                <w:rFonts w:ascii="Arial" w:hAnsi="Arial" w:cs="Arial"/>
              </w:rPr>
              <w:t>Aleman</w:t>
            </w:r>
            <w:proofErr w:type="spellEnd"/>
          </w:p>
        </w:tc>
        <w:tc>
          <w:tcPr>
            <w:tcW w:w="2552" w:type="dxa"/>
            <w:vAlign w:val="center"/>
          </w:tcPr>
          <w:p w:rsidR="00041E5B" w:rsidRDefault="00041E5B" w:rsidP="001D5540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9A0B5F" w:rsidRPr="004F7D32" w:rsidRDefault="009A0B5F" w:rsidP="009A0B5F">
      <w:pPr>
        <w:rPr>
          <w:rFonts w:ascii="Arial" w:hAnsi="Arial" w:cs="Arial"/>
          <w:sz w:val="22"/>
          <w:szCs w:val="22"/>
        </w:rPr>
      </w:pPr>
    </w:p>
    <w:sectPr w:rsidR="009A0B5F" w:rsidRPr="004F7D32" w:rsidSect="004F7D32">
      <w:headerReference w:type="default" r:id="rId7"/>
      <w:pgSz w:w="11907" w:h="16840" w:code="9"/>
      <w:pgMar w:top="1672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21" w:rsidRDefault="007F3621" w:rsidP="00E75932">
      <w:r>
        <w:separator/>
      </w:r>
    </w:p>
  </w:endnote>
  <w:endnote w:type="continuationSeparator" w:id="0">
    <w:p w:rsidR="007F3621" w:rsidRDefault="007F3621" w:rsidP="00E7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21" w:rsidRDefault="007F3621" w:rsidP="00E75932">
      <w:r>
        <w:separator/>
      </w:r>
    </w:p>
  </w:footnote>
  <w:footnote w:type="continuationSeparator" w:id="0">
    <w:p w:rsidR="007F3621" w:rsidRDefault="007F3621" w:rsidP="00E7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6"/>
      <w:gridCol w:w="2275"/>
      <w:gridCol w:w="1758"/>
      <w:gridCol w:w="1132"/>
      <w:gridCol w:w="1505"/>
    </w:tblGrid>
    <w:tr w:rsidR="00517959" w:rsidTr="004F7D32">
      <w:trPr>
        <w:trHeight w:val="889"/>
      </w:trPr>
      <w:tc>
        <w:tcPr>
          <w:tcW w:w="2686" w:type="dxa"/>
          <w:vAlign w:val="center"/>
        </w:tcPr>
        <w:p w:rsidR="00517959" w:rsidRPr="008D74F1" w:rsidRDefault="00094E1C">
          <w:pPr>
            <w:pStyle w:val="Encabezado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noProof/>
              <w:sz w:val="32"/>
              <w:lang w:val="es-PE" w:eastAsia="es-PE"/>
            </w:rPr>
            <w:t>Puertos del Pacífico</w:t>
          </w:r>
        </w:p>
      </w:tc>
      <w:tc>
        <w:tcPr>
          <w:tcW w:w="6670" w:type="dxa"/>
          <w:gridSpan w:val="4"/>
          <w:vAlign w:val="center"/>
        </w:tcPr>
        <w:p w:rsidR="00517959" w:rsidRPr="00F75F0D" w:rsidRDefault="00517959" w:rsidP="004F7D32">
          <w:pPr>
            <w:pStyle w:val="Encabezado"/>
            <w:jc w:val="center"/>
            <w:rPr>
              <w:rFonts w:ascii="Arial" w:hAnsi="Arial" w:cs="Arial"/>
              <w:b/>
              <w:bCs/>
              <w:smallCaps/>
              <w:sz w:val="32"/>
            </w:rPr>
          </w:pPr>
          <w:r>
            <w:rPr>
              <w:rFonts w:ascii="Arial" w:hAnsi="Arial" w:cs="Arial"/>
              <w:b/>
              <w:bCs/>
              <w:smallCaps/>
              <w:sz w:val="32"/>
            </w:rPr>
            <w:t>ACTA DE REUNIÓN SISTEMAS</w:t>
          </w:r>
        </w:p>
      </w:tc>
    </w:tr>
    <w:tr w:rsidR="00517959" w:rsidTr="004F7D32">
      <w:trPr>
        <w:trHeight w:val="371"/>
      </w:trPr>
      <w:tc>
        <w:tcPr>
          <w:tcW w:w="4961" w:type="dxa"/>
          <w:gridSpan w:val="2"/>
        </w:tcPr>
        <w:p w:rsidR="00517959" w:rsidRPr="008D74F1" w:rsidRDefault="00517959" w:rsidP="00476FDB">
          <w:pPr>
            <w:pStyle w:val="Ttulo1"/>
            <w:spacing w:before="40" w:after="40"/>
            <w:ind w:firstLine="72"/>
            <w:rPr>
              <w:b w:val="0"/>
              <w:bCs w:val="0"/>
              <w:smallCaps/>
              <w:sz w:val="22"/>
              <w:szCs w:val="22"/>
            </w:rPr>
          </w:pPr>
          <w:r w:rsidRPr="008D74F1">
            <w:rPr>
              <w:smallCaps/>
              <w:kern w:val="0"/>
              <w:sz w:val="24"/>
              <w:szCs w:val="24"/>
            </w:rPr>
            <w:t xml:space="preserve"> “</w:t>
          </w:r>
          <w:r>
            <w:rPr>
              <w:smallCaps/>
              <w:kern w:val="0"/>
              <w:sz w:val="24"/>
              <w:szCs w:val="24"/>
            </w:rPr>
            <w:t>ACTA DE REUNIÓN Y ACUERDOS</w:t>
          </w:r>
          <w:r w:rsidRPr="008D74F1">
            <w:rPr>
              <w:smallCaps/>
              <w:kern w:val="0"/>
              <w:sz w:val="24"/>
              <w:szCs w:val="24"/>
            </w:rPr>
            <w:t>”</w:t>
          </w:r>
        </w:p>
      </w:tc>
      <w:tc>
        <w:tcPr>
          <w:tcW w:w="1758" w:type="dxa"/>
          <w:vAlign w:val="center"/>
        </w:tcPr>
        <w:p w:rsidR="00517959" w:rsidRPr="008D74F1" w:rsidRDefault="00517959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Código</w:t>
          </w:r>
        </w:p>
        <w:p w:rsidR="00517959" w:rsidRPr="008D74F1" w:rsidRDefault="00517959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FOR-TI-01-09</w:t>
          </w:r>
        </w:p>
      </w:tc>
      <w:tc>
        <w:tcPr>
          <w:tcW w:w="1132" w:type="dxa"/>
          <w:vAlign w:val="center"/>
        </w:tcPr>
        <w:p w:rsidR="00517959" w:rsidRPr="008D74F1" w:rsidRDefault="00517959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Versión</w:t>
          </w:r>
        </w:p>
        <w:p w:rsidR="00517959" w:rsidRPr="008D74F1" w:rsidRDefault="00517959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001</w:t>
          </w:r>
        </w:p>
      </w:tc>
      <w:tc>
        <w:tcPr>
          <w:tcW w:w="1505" w:type="dxa"/>
          <w:vAlign w:val="center"/>
        </w:tcPr>
        <w:p w:rsidR="00517959" w:rsidRPr="008D74F1" w:rsidRDefault="00517959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Página</w:t>
          </w:r>
        </w:p>
        <w:p w:rsidR="00517959" w:rsidRPr="008D74F1" w:rsidRDefault="00517959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Pr="008D74F1">
            <w:rPr>
              <w:rStyle w:val="Nmerodepgina"/>
              <w:rFonts w:ascii="Arial" w:hAnsi="Arial" w:cs="Arial"/>
            </w:rPr>
            <w:instrText xml:space="preserve"> PAGE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094E1C">
            <w:rPr>
              <w:rStyle w:val="Nmerodepgina"/>
              <w:rFonts w:ascii="Arial" w:hAnsi="Arial" w:cs="Arial"/>
              <w:noProof/>
            </w:rPr>
            <w:t>1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Pr="008D74F1">
            <w:rPr>
              <w:rStyle w:val="Nmerodepgina"/>
              <w:rFonts w:ascii="Arial" w:hAnsi="Arial" w:cs="Arial"/>
            </w:rPr>
            <w:t xml:space="preserve"> de </w:t>
          </w: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Pr="008D74F1">
            <w:rPr>
              <w:rStyle w:val="Nmerodepgina"/>
              <w:rFonts w:ascii="Arial" w:hAnsi="Arial" w:cs="Arial"/>
            </w:rPr>
            <w:instrText xml:space="preserve"> NUMPAGES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094E1C">
            <w:rPr>
              <w:rStyle w:val="Nmerodepgina"/>
              <w:rFonts w:ascii="Arial" w:hAnsi="Arial" w:cs="Arial"/>
              <w:noProof/>
            </w:rPr>
            <w:t>1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Pr="008D74F1">
            <w:rPr>
              <w:rStyle w:val="Nmerodepgina"/>
              <w:rFonts w:ascii="Arial" w:hAnsi="Arial" w:cs="Arial"/>
            </w:rPr>
            <w:t xml:space="preserve"> </w:t>
          </w:r>
        </w:p>
      </w:tc>
    </w:tr>
  </w:tbl>
  <w:p w:rsidR="00517959" w:rsidRDefault="005179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63C6D"/>
    <w:multiLevelType w:val="hybridMultilevel"/>
    <w:tmpl w:val="7B4EC606"/>
    <w:lvl w:ilvl="0" w:tplc="52226E76">
      <w:start w:val="1"/>
      <w:numFmt w:val="decimal"/>
      <w:lvlText w:val="%1."/>
      <w:lvlJc w:val="left"/>
      <w:pPr>
        <w:tabs>
          <w:tab w:val="num" w:pos="840"/>
        </w:tabs>
        <w:ind w:left="840" w:hanging="390"/>
      </w:pPr>
      <w:rPr>
        <w:rFonts w:hint="default"/>
      </w:rPr>
    </w:lvl>
    <w:lvl w:ilvl="1" w:tplc="8C367E1C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EA04778"/>
    <w:multiLevelType w:val="hybridMultilevel"/>
    <w:tmpl w:val="F286C98A"/>
    <w:lvl w:ilvl="0" w:tplc="4754F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32B3B"/>
    <w:multiLevelType w:val="hybridMultilevel"/>
    <w:tmpl w:val="BAFAA0A2"/>
    <w:lvl w:ilvl="0" w:tplc="D30CF5FA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50E66"/>
    <w:multiLevelType w:val="hybridMultilevel"/>
    <w:tmpl w:val="3F38938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A32130"/>
    <w:multiLevelType w:val="hybridMultilevel"/>
    <w:tmpl w:val="4F5E21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B03E25"/>
    <w:multiLevelType w:val="hybridMultilevel"/>
    <w:tmpl w:val="823CD1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3979"/>
    <w:multiLevelType w:val="hybridMultilevel"/>
    <w:tmpl w:val="4B28A298"/>
    <w:lvl w:ilvl="0" w:tplc="7E666D08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 w15:restartNumberingAfterBreak="0">
    <w:nsid w:val="60A67CAF"/>
    <w:multiLevelType w:val="hybridMultilevel"/>
    <w:tmpl w:val="8D8824B6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0DABF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00629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351E"/>
    <w:multiLevelType w:val="hybridMultilevel"/>
    <w:tmpl w:val="0DCA79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623"/>
    <w:multiLevelType w:val="hybridMultilevel"/>
    <w:tmpl w:val="202823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0D5BA5"/>
    <w:multiLevelType w:val="hybridMultilevel"/>
    <w:tmpl w:val="46721384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3060C"/>
    <w:multiLevelType w:val="hybridMultilevel"/>
    <w:tmpl w:val="CEE013FC"/>
    <w:lvl w:ilvl="0" w:tplc="1D440B24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 w15:restartNumberingAfterBreak="0">
    <w:nsid w:val="7AC41420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50ED7"/>
    <w:multiLevelType w:val="hybridMultilevel"/>
    <w:tmpl w:val="E66AFC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13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32"/>
    <w:rsid w:val="00016579"/>
    <w:rsid w:val="00041E5B"/>
    <w:rsid w:val="00094E1C"/>
    <w:rsid w:val="000952CC"/>
    <w:rsid w:val="000D5771"/>
    <w:rsid w:val="00112F1C"/>
    <w:rsid w:val="00114325"/>
    <w:rsid w:val="00135CEF"/>
    <w:rsid w:val="00143234"/>
    <w:rsid w:val="00171348"/>
    <w:rsid w:val="00186FED"/>
    <w:rsid w:val="001A2062"/>
    <w:rsid w:val="001A3D0E"/>
    <w:rsid w:val="001C4815"/>
    <w:rsid w:val="001D5540"/>
    <w:rsid w:val="001D6DF1"/>
    <w:rsid w:val="001F286A"/>
    <w:rsid w:val="001F5E20"/>
    <w:rsid w:val="00202818"/>
    <w:rsid w:val="002338FB"/>
    <w:rsid w:val="00241463"/>
    <w:rsid w:val="00287169"/>
    <w:rsid w:val="00290F29"/>
    <w:rsid w:val="002916BA"/>
    <w:rsid w:val="002B453F"/>
    <w:rsid w:val="002B4FCA"/>
    <w:rsid w:val="002E5666"/>
    <w:rsid w:val="003132EF"/>
    <w:rsid w:val="00343B75"/>
    <w:rsid w:val="003C44E7"/>
    <w:rsid w:val="003D58BE"/>
    <w:rsid w:val="003D5F0C"/>
    <w:rsid w:val="00444E58"/>
    <w:rsid w:val="00461804"/>
    <w:rsid w:val="0046740E"/>
    <w:rsid w:val="00476196"/>
    <w:rsid w:val="00476FDB"/>
    <w:rsid w:val="004A26A1"/>
    <w:rsid w:val="004E2C72"/>
    <w:rsid w:val="004F517D"/>
    <w:rsid w:val="004F689C"/>
    <w:rsid w:val="004F7D32"/>
    <w:rsid w:val="005024DE"/>
    <w:rsid w:val="0051404E"/>
    <w:rsid w:val="00517448"/>
    <w:rsid w:val="00517959"/>
    <w:rsid w:val="0052392D"/>
    <w:rsid w:val="005247C7"/>
    <w:rsid w:val="005B0977"/>
    <w:rsid w:val="005D5739"/>
    <w:rsid w:val="007101C0"/>
    <w:rsid w:val="007142C1"/>
    <w:rsid w:val="007253BB"/>
    <w:rsid w:val="007478F3"/>
    <w:rsid w:val="007550FF"/>
    <w:rsid w:val="00770489"/>
    <w:rsid w:val="00785196"/>
    <w:rsid w:val="00791F97"/>
    <w:rsid w:val="007F3621"/>
    <w:rsid w:val="00844EB6"/>
    <w:rsid w:val="00856702"/>
    <w:rsid w:val="00860C80"/>
    <w:rsid w:val="0089665B"/>
    <w:rsid w:val="008B10CB"/>
    <w:rsid w:val="008B34E7"/>
    <w:rsid w:val="008B7E11"/>
    <w:rsid w:val="008C4E11"/>
    <w:rsid w:val="008D74F1"/>
    <w:rsid w:val="008F4994"/>
    <w:rsid w:val="00955625"/>
    <w:rsid w:val="009A0B5F"/>
    <w:rsid w:val="009D2F34"/>
    <w:rsid w:val="00A05623"/>
    <w:rsid w:val="00A07C21"/>
    <w:rsid w:val="00A11A4E"/>
    <w:rsid w:val="00A77D31"/>
    <w:rsid w:val="00A91F00"/>
    <w:rsid w:val="00AC005A"/>
    <w:rsid w:val="00AC11E6"/>
    <w:rsid w:val="00AD680D"/>
    <w:rsid w:val="00B01E36"/>
    <w:rsid w:val="00B21E53"/>
    <w:rsid w:val="00B448D0"/>
    <w:rsid w:val="00B57DB7"/>
    <w:rsid w:val="00BD4FF9"/>
    <w:rsid w:val="00C14DBE"/>
    <w:rsid w:val="00C51140"/>
    <w:rsid w:val="00C90B67"/>
    <w:rsid w:val="00CA37D2"/>
    <w:rsid w:val="00CA44D0"/>
    <w:rsid w:val="00CB070F"/>
    <w:rsid w:val="00CD4548"/>
    <w:rsid w:val="00CF7496"/>
    <w:rsid w:val="00D01472"/>
    <w:rsid w:val="00D10946"/>
    <w:rsid w:val="00DF6464"/>
    <w:rsid w:val="00E22731"/>
    <w:rsid w:val="00E72991"/>
    <w:rsid w:val="00E75932"/>
    <w:rsid w:val="00E76EBF"/>
    <w:rsid w:val="00EA6D62"/>
    <w:rsid w:val="00EC550B"/>
    <w:rsid w:val="00F60A03"/>
    <w:rsid w:val="00F75F0D"/>
    <w:rsid w:val="00F91C07"/>
    <w:rsid w:val="00FE63D1"/>
    <w:rsid w:val="00FF5AC0"/>
    <w:rsid w:val="00FF5B20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C0C03-1A32-4669-8944-16483395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93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rsid w:val="00E759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5932"/>
  </w:style>
  <w:style w:type="paragraph" w:customStyle="1" w:styleId="Revbox">
    <w:name w:val="Rev. box"/>
    <w:basedOn w:val="Normal"/>
    <w:rsid w:val="00E75932"/>
    <w:pPr>
      <w:tabs>
        <w:tab w:val="left" w:pos="2880"/>
      </w:tabs>
      <w:spacing w:after="40" w:line="280" w:lineRule="exact"/>
    </w:pPr>
    <w:rPr>
      <w:rFonts w:ascii="Arial" w:hAnsi="Arial"/>
      <w:b/>
      <w:noProof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F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Ernesto Castillo</cp:lastModifiedBy>
  <cp:revision>5</cp:revision>
  <cp:lastPrinted>2015-02-13T15:55:00Z</cp:lastPrinted>
  <dcterms:created xsi:type="dcterms:W3CDTF">2015-02-20T21:29:00Z</dcterms:created>
  <dcterms:modified xsi:type="dcterms:W3CDTF">2015-10-27T14:32:00Z</dcterms:modified>
</cp:coreProperties>
</file>